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D1" w:rsidRPr="00D212D1" w:rsidRDefault="00D212D1" w:rsidP="00D212D1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  <w:r w:rsidRPr="00D212D1">
        <w:rPr>
          <w:rFonts w:ascii="Source Sans Pro" w:eastAsia="Times New Roman" w:hAnsi="Source Sans Pro" w:cs="Arial"/>
          <w:color w:val="11414B"/>
          <w:sz w:val="21"/>
          <w:szCs w:val="21"/>
          <w:bdr w:val="single" w:sz="2" w:space="0" w:color="333333" w:frame="1"/>
          <w:lang w:eastAsia="en-GB"/>
        </w:rPr>
        <w:t> </w:t>
      </w:r>
      <w:r w:rsidRPr="00D212D1">
        <w:rPr>
          <w:rFonts w:ascii="Arial" w:eastAsia="Times New Roman" w:hAnsi="Arial" w:cs="Arial"/>
          <w:b/>
          <w:bCs/>
          <w:color w:val="11414B"/>
          <w:sz w:val="21"/>
          <w:szCs w:val="21"/>
          <w:bdr w:val="single" w:sz="2" w:space="0" w:color="333333" w:frame="1"/>
          <w:lang w:eastAsia="en-GB"/>
        </w:rPr>
        <w:t>Pharmacists</w:t>
      </w:r>
    </w:p>
    <w:p w:rsidR="00D212D1" w:rsidRPr="00D212D1" w:rsidRDefault="00D212D1" w:rsidP="00D212D1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</w:p>
    <w:p w:rsidR="00D212D1" w:rsidRPr="00D212D1" w:rsidRDefault="00D212D1" w:rsidP="00D212D1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>Following the introduction of the new GP contract in 2018 pharmacists are now increasing involved in the care of patients in General Practice.</w:t>
      </w:r>
    </w:p>
    <w:p w:rsidR="00D212D1" w:rsidRPr="00D212D1" w:rsidRDefault="00D212D1" w:rsidP="00D212D1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</w:p>
    <w:p w:rsidR="00D212D1" w:rsidRDefault="00D212D1" w:rsidP="00D212D1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 xml:space="preserve">Here in </w:t>
      </w:r>
      <w:r w:rsidR="005F24AF">
        <w:rPr>
          <w:rFonts w:ascii="Arial" w:eastAsia="Times New Roman" w:hAnsi="Arial" w:cs="Arial"/>
          <w:color w:val="11414B"/>
          <w:sz w:val="21"/>
          <w:szCs w:val="21"/>
          <w:lang w:eastAsia="en-GB"/>
        </w:rPr>
        <w:t>Polwarth</w:t>
      </w:r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 xml:space="preserve"> Medical Practice we now have a team of clinical pharmacists who are based in the practice on the following days:</w:t>
      </w:r>
    </w:p>
    <w:p w:rsidR="00D212D1" w:rsidRDefault="00D212D1" w:rsidP="00D212D1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D212D1" w:rsidTr="00D212D1">
        <w:tc>
          <w:tcPr>
            <w:tcW w:w="4621" w:type="dxa"/>
          </w:tcPr>
          <w:p w:rsidR="00D212D1" w:rsidRPr="00D212D1" w:rsidRDefault="005F24AF" w:rsidP="00023B8C">
            <w:pPr>
              <w:spacing w:line="315" w:lineRule="atLeast"/>
              <w:textAlignment w:val="top"/>
              <w:rPr>
                <w:rFonts w:ascii="Arial" w:eastAsia="Times New Roman" w:hAnsi="Arial" w:cs="Arial"/>
                <w:b/>
                <w:color w:val="11414B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11414B"/>
                <w:sz w:val="21"/>
                <w:szCs w:val="21"/>
                <w:lang w:eastAsia="en-GB"/>
              </w:rPr>
              <w:t>TUESDAY</w:t>
            </w:r>
          </w:p>
        </w:tc>
        <w:tc>
          <w:tcPr>
            <w:tcW w:w="4621" w:type="dxa"/>
          </w:tcPr>
          <w:p w:rsidR="00D212D1" w:rsidRDefault="00D212D1" w:rsidP="005F24AF">
            <w:pPr>
              <w:spacing w:line="315" w:lineRule="atLeast"/>
              <w:textAlignment w:val="top"/>
              <w:rPr>
                <w:rFonts w:ascii="Arial" w:eastAsia="Times New Roman" w:hAnsi="Arial" w:cs="Arial"/>
                <w:b/>
                <w:color w:val="11414B"/>
                <w:sz w:val="21"/>
                <w:szCs w:val="21"/>
                <w:lang w:eastAsia="en-GB"/>
              </w:rPr>
            </w:pPr>
            <w:r w:rsidRPr="00D212D1">
              <w:rPr>
                <w:rFonts w:ascii="Arial" w:eastAsia="Times New Roman" w:hAnsi="Arial" w:cs="Arial"/>
                <w:b/>
                <w:color w:val="11414B"/>
                <w:sz w:val="21"/>
                <w:szCs w:val="21"/>
                <w:lang w:eastAsia="en-GB"/>
              </w:rPr>
              <w:t xml:space="preserve">Barry Chapman </w:t>
            </w:r>
          </w:p>
          <w:p w:rsidR="005F24AF" w:rsidRPr="00D212D1" w:rsidRDefault="005F24AF" w:rsidP="005F24AF">
            <w:pPr>
              <w:spacing w:line="315" w:lineRule="atLeast"/>
              <w:textAlignment w:val="top"/>
              <w:rPr>
                <w:rFonts w:ascii="Arial" w:eastAsia="Times New Roman" w:hAnsi="Arial" w:cs="Arial"/>
                <w:b/>
                <w:color w:val="11414B"/>
                <w:sz w:val="21"/>
                <w:szCs w:val="21"/>
                <w:lang w:eastAsia="en-GB"/>
              </w:rPr>
            </w:pPr>
          </w:p>
        </w:tc>
      </w:tr>
      <w:tr w:rsidR="00D212D1" w:rsidTr="00D212D1">
        <w:tc>
          <w:tcPr>
            <w:tcW w:w="4621" w:type="dxa"/>
          </w:tcPr>
          <w:p w:rsidR="00D212D1" w:rsidRDefault="005F24AF" w:rsidP="00D212D1">
            <w:pPr>
              <w:spacing w:line="315" w:lineRule="atLeast"/>
              <w:textAlignment w:val="top"/>
              <w:rPr>
                <w:rFonts w:ascii="Arial" w:eastAsia="Times New Roman" w:hAnsi="Arial" w:cs="Arial"/>
                <w:b/>
                <w:color w:val="11414B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11414B"/>
                <w:sz w:val="21"/>
                <w:szCs w:val="21"/>
                <w:lang w:eastAsia="en-GB"/>
              </w:rPr>
              <w:t>FRIDAY</w:t>
            </w:r>
          </w:p>
          <w:p w:rsidR="002B7F20" w:rsidRPr="00D212D1" w:rsidRDefault="002B7F20" w:rsidP="00D212D1">
            <w:pPr>
              <w:spacing w:line="315" w:lineRule="atLeast"/>
              <w:textAlignment w:val="top"/>
              <w:rPr>
                <w:rFonts w:ascii="Arial" w:eastAsia="Times New Roman" w:hAnsi="Arial" w:cs="Arial"/>
                <w:b/>
                <w:color w:val="11414B"/>
                <w:sz w:val="21"/>
                <w:szCs w:val="21"/>
                <w:lang w:eastAsia="en-GB"/>
              </w:rPr>
            </w:pPr>
          </w:p>
        </w:tc>
        <w:tc>
          <w:tcPr>
            <w:tcW w:w="4621" w:type="dxa"/>
          </w:tcPr>
          <w:p w:rsidR="00D212D1" w:rsidRPr="00D212D1" w:rsidRDefault="005F24AF" w:rsidP="00D212D1">
            <w:pPr>
              <w:spacing w:line="315" w:lineRule="atLeast"/>
              <w:textAlignment w:val="top"/>
              <w:rPr>
                <w:rFonts w:ascii="Arial" w:eastAsia="Times New Roman" w:hAnsi="Arial" w:cs="Arial"/>
                <w:b/>
                <w:color w:val="11414B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11414B"/>
                <w:sz w:val="21"/>
                <w:szCs w:val="21"/>
                <w:lang w:eastAsia="en-GB"/>
              </w:rPr>
              <w:t>Alison Wallace</w:t>
            </w:r>
          </w:p>
        </w:tc>
      </w:tr>
    </w:tbl>
    <w:p w:rsidR="00D212D1" w:rsidRPr="00D212D1" w:rsidRDefault="00D212D1" w:rsidP="00D212D1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</w:p>
    <w:p w:rsidR="00D212D1" w:rsidRPr="00D212D1" w:rsidRDefault="00D212D1" w:rsidP="00D212D1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>When you contact the practice about a medication matter you may be offered an appointment with one of our pharmacists. You can also request to spe</w:t>
      </w:r>
      <w:r w:rsidR="002B7F20">
        <w:rPr>
          <w:rFonts w:ascii="Arial" w:eastAsia="Times New Roman" w:hAnsi="Arial" w:cs="Arial"/>
          <w:color w:val="11414B"/>
          <w:sz w:val="21"/>
          <w:szCs w:val="21"/>
          <w:lang w:eastAsia="en-GB"/>
        </w:rPr>
        <w:t>ak with the pharmacist yourself</w:t>
      </w:r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>.</w:t>
      </w:r>
      <w:r w:rsidR="0081150F">
        <w:rPr>
          <w:rFonts w:ascii="Arial" w:eastAsia="Times New Roman" w:hAnsi="Arial" w:cs="Arial"/>
          <w:color w:val="11414B"/>
          <w:sz w:val="21"/>
          <w:szCs w:val="21"/>
          <w:lang w:eastAsia="en-GB"/>
        </w:rPr>
        <w:t xml:space="preserve">  Barry and Alison have extensive training behind them and are very experienced. They are both key members of our team. </w:t>
      </w:r>
    </w:p>
    <w:p w:rsidR="00D212D1" w:rsidRPr="00D212D1" w:rsidRDefault="00D212D1" w:rsidP="00D212D1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</w:p>
    <w:p w:rsidR="00D212D1" w:rsidRPr="00D212D1" w:rsidRDefault="00D212D1" w:rsidP="00D212D1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>The clinical pharmacists work closely with our GP's providing the following:</w:t>
      </w:r>
    </w:p>
    <w:p w:rsidR="00D212D1" w:rsidRPr="00D212D1" w:rsidRDefault="00D212D1" w:rsidP="00D212D1">
      <w:pPr>
        <w:numPr>
          <w:ilvl w:val="0"/>
          <w:numId w:val="1"/>
        </w:numPr>
        <w:pBdr>
          <w:top w:val="single" w:sz="2" w:space="0" w:color="333333"/>
          <w:left w:val="single" w:sz="2" w:space="0" w:color="333333"/>
          <w:bottom w:val="single" w:sz="2" w:space="14" w:color="333333"/>
          <w:right w:val="single" w:sz="2" w:space="0" w:color="333333"/>
        </w:pBdr>
        <w:shd w:val="clear" w:color="auto" w:fill="FFFFFF"/>
        <w:spacing w:before="100" w:beforeAutospacing="1" w:after="100" w:afterAutospacing="1" w:line="315" w:lineRule="atLeast"/>
        <w:ind w:left="0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>expertise on day-to-day medicine</w:t>
      </w:r>
      <w:r w:rsidR="00BC45EC">
        <w:rPr>
          <w:rFonts w:ascii="Arial" w:eastAsia="Times New Roman" w:hAnsi="Arial" w:cs="Arial"/>
          <w:color w:val="11414B"/>
          <w:sz w:val="21"/>
          <w:szCs w:val="21"/>
          <w:lang w:eastAsia="en-GB"/>
        </w:rPr>
        <w:t>s</w:t>
      </w:r>
    </w:p>
    <w:p w:rsidR="00D212D1" w:rsidRPr="00D212D1" w:rsidRDefault="00D212D1" w:rsidP="00D212D1">
      <w:pPr>
        <w:numPr>
          <w:ilvl w:val="0"/>
          <w:numId w:val="1"/>
        </w:numPr>
        <w:pBdr>
          <w:top w:val="single" w:sz="2" w:space="0" w:color="333333"/>
          <w:left w:val="single" w:sz="2" w:space="0" w:color="333333"/>
          <w:bottom w:val="single" w:sz="2" w:space="14" w:color="333333"/>
          <w:right w:val="single" w:sz="2" w:space="0" w:color="333333"/>
        </w:pBdr>
        <w:shd w:val="clear" w:color="auto" w:fill="FFFFFF"/>
        <w:spacing w:before="100" w:beforeAutospacing="1" w:after="100" w:afterAutospacing="1" w:line="315" w:lineRule="atLeast"/>
        <w:ind w:left="0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>advice for patients taking multiple medications</w:t>
      </w:r>
    </w:p>
    <w:p w:rsidR="00D212D1" w:rsidRDefault="00D212D1" w:rsidP="00D212D1">
      <w:pPr>
        <w:numPr>
          <w:ilvl w:val="0"/>
          <w:numId w:val="1"/>
        </w:numPr>
        <w:pBdr>
          <w:top w:val="single" w:sz="2" w:space="0" w:color="333333"/>
          <w:left w:val="single" w:sz="2" w:space="0" w:color="333333"/>
          <w:bottom w:val="single" w:sz="2" w:space="14" w:color="333333"/>
          <w:right w:val="single" w:sz="2" w:space="0" w:color="333333"/>
        </w:pBdr>
        <w:shd w:val="clear" w:color="auto" w:fill="FFFFFF"/>
        <w:spacing w:before="100" w:beforeAutospacing="1" w:after="100" w:afterAutospacing="1" w:line="315" w:lineRule="atLeast"/>
        <w:ind w:left="0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>medication reviews and other medicines-related support, including discussing side effects</w:t>
      </w:r>
    </w:p>
    <w:p w:rsidR="00D212D1" w:rsidRPr="00D212D1" w:rsidRDefault="00D212D1" w:rsidP="00D212D1">
      <w:pPr>
        <w:numPr>
          <w:ilvl w:val="0"/>
          <w:numId w:val="1"/>
        </w:numPr>
        <w:pBdr>
          <w:top w:val="single" w:sz="2" w:space="0" w:color="333333"/>
          <w:left w:val="single" w:sz="2" w:space="0" w:color="333333"/>
          <w:bottom w:val="single" w:sz="2" w:space="14" w:color="333333"/>
          <w:right w:val="single" w:sz="2" w:space="0" w:color="333333"/>
        </w:pBdr>
        <w:shd w:val="clear" w:color="auto" w:fill="FFFFFF"/>
        <w:spacing w:before="100" w:beforeAutospacing="1" w:after="100" w:afterAutospacing="1" w:line="315" w:lineRule="atLeast"/>
        <w:ind w:left="0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11414B"/>
          <w:sz w:val="21"/>
          <w:szCs w:val="21"/>
          <w:lang w:eastAsia="en-GB"/>
        </w:rPr>
        <w:t>Specialist reviews for patients with long term respiratory conditions such as COPD or asthma</w:t>
      </w:r>
    </w:p>
    <w:p w:rsidR="00D212D1" w:rsidRPr="00D212D1" w:rsidRDefault="00D212D1" w:rsidP="00D212D1">
      <w:pPr>
        <w:numPr>
          <w:ilvl w:val="0"/>
          <w:numId w:val="1"/>
        </w:numPr>
        <w:pBdr>
          <w:top w:val="single" w:sz="2" w:space="0" w:color="333333"/>
          <w:left w:val="single" w:sz="2" w:space="0" w:color="333333"/>
          <w:bottom w:val="single" w:sz="2" w:space="14" w:color="333333"/>
          <w:right w:val="single" w:sz="2" w:space="0" w:color="333333"/>
        </w:pBdr>
        <w:shd w:val="clear" w:color="auto" w:fill="FFFFFF"/>
        <w:spacing w:before="100" w:beforeAutospacing="1" w:after="100" w:afterAutospacing="1" w:line="315" w:lineRule="atLeast"/>
        <w:ind w:left="0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>help for patients with their medicines following a stay in hospital, particularly if there has been a change</w:t>
      </w:r>
    </w:p>
    <w:p w:rsidR="00D212D1" w:rsidRPr="00D212D1" w:rsidRDefault="00D212D1" w:rsidP="00D212D1">
      <w:pPr>
        <w:numPr>
          <w:ilvl w:val="0"/>
          <w:numId w:val="1"/>
        </w:numPr>
        <w:pBdr>
          <w:top w:val="single" w:sz="2" w:space="0" w:color="333333"/>
          <w:left w:val="single" w:sz="2" w:space="0" w:color="333333"/>
          <w:bottom w:val="single" w:sz="2" w:space="14" w:color="333333"/>
          <w:right w:val="single" w:sz="2" w:space="0" w:color="333333"/>
        </w:pBdr>
        <w:shd w:val="clear" w:color="auto" w:fill="FFFFFF"/>
        <w:spacing w:before="100" w:beforeAutospacing="1" w:after="100" w:afterAutospacing="1" w:line="315" w:lineRule="atLeast"/>
        <w:ind w:left="0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>medications and prescription related queries</w:t>
      </w:r>
    </w:p>
    <w:p w:rsidR="00D212D1" w:rsidRPr="00D212D1" w:rsidRDefault="00D212D1" w:rsidP="00D212D1">
      <w:pPr>
        <w:numPr>
          <w:ilvl w:val="0"/>
          <w:numId w:val="1"/>
        </w:numPr>
        <w:pBdr>
          <w:top w:val="single" w:sz="2" w:space="0" w:color="333333"/>
          <w:left w:val="single" w:sz="2" w:space="0" w:color="333333"/>
          <w:bottom w:val="single" w:sz="2" w:space="14" w:color="333333"/>
          <w:right w:val="single" w:sz="2" w:space="0" w:color="333333"/>
        </w:pBdr>
        <w:shd w:val="clear" w:color="auto" w:fill="FFFFFF"/>
        <w:spacing w:before="100" w:beforeAutospacing="1" w:after="100" w:afterAutospacing="1" w:line="315" w:lineRule="atLeast"/>
        <w:ind w:left="0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>prescription authorization</w:t>
      </w:r>
    </w:p>
    <w:p w:rsidR="00D212D1" w:rsidRPr="00D212D1" w:rsidRDefault="00D212D1" w:rsidP="00D212D1">
      <w:pPr>
        <w:numPr>
          <w:ilvl w:val="0"/>
          <w:numId w:val="1"/>
        </w:numPr>
        <w:pBdr>
          <w:top w:val="single" w:sz="2" w:space="0" w:color="333333"/>
          <w:left w:val="single" w:sz="2" w:space="0" w:color="333333"/>
          <w:bottom w:val="single" w:sz="2" w:space="14" w:color="333333"/>
          <w:right w:val="single" w:sz="2" w:space="0" w:color="333333"/>
        </w:pBdr>
        <w:shd w:val="clear" w:color="auto" w:fill="FFFFFF"/>
        <w:spacing w:before="100" w:beforeAutospacing="1" w:after="100" w:afterAutospacing="1" w:line="315" w:lineRule="atLeast"/>
        <w:ind w:left="0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>blood test request authorization</w:t>
      </w:r>
    </w:p>
    <w:p w:rsidR="00D212D1" w:rsidRPr="00D212D1" w:rsidRDefault="00D212D1" w:rsidP="00D212D1">
      <w:pPr>
        <w:numPr>
          <w:ilvl w:val="0"/>
          <w:numId w:val="1"/>
        </w:numPr>
        <w:pBdr>
          <w:top w:val="single" w:sz="2" w:space="0" w:color="333333"/>
          <w:left w:val="single" w:sz="2" w:space="0" w:color="333333"/>
          <w:bottom w:val="single" w:sz="2" w:space="14" w:color="333333"/>
          <w:right w:val="single" w:sz="2" w:space="0" w:color="333333"/>
        </w:pBdr>
        <w:shd w:val="clear" w:color="auto" w:fill="FFFFFF"/>
        <w:spacing w:before="100" w:beforeAutospacing="1" w:after="100" w:afterAutospacing="1" w:line="315" w:lineRule="atLeast"/>
        <w:ind w:left="0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>support managing patients’ long-term conditions, such as high blood pressure</w:t>
      </w:r>
    </w:p>
    <w:p w:rsidR="00D212D1" w:rsidRPr="00D212D1" w:rsidRDefault="00D212D1" w:rsidP="00D212D1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>Having a pharmacist working in our surgery provides valuable medicines support, a close link with our community pharmacists and allows our GPs to focus their skills and time where they are most needed, for  patients who have more complex needs.</w:t>
      </w:r>
    </w:p>
    <w:p w:rsidR="00023B8C" w:rsidRDefault="00023B8C" w:rsidP="00D212D1">
      <w:pPr>
        <w:shd w:val="clear" w:color="auto" w:fill="FFFFFF"/>
        <w:spacing w:before="150" w:after="150" w:line="315" w:lineRule="atLeast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</w:p>
    <w:p w:rsidR="00D212D1" w:rsidRPr="00D212D1" w:rsidRDefault="00497187" w:rsidP="00D212D1">
      <w:pPr>
        <w:shd w:val="clear" w:color="auto" w:fill="FFFFFF"/>
        <w:spacing w:before="150" w:after="150" w:line="315" w:lineRule="atLeast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  <w:r w:rsidRPr="00497187">
        <w:rPr>
          <w:rFonts w:ascii="Arial" w:eastAsia="Times New Roman" w:hAnsi="Arial" w:cs="Arial"/>
          <w:color w:val="11414B"/>
          <w:sz w:val="21"/>
          <w:szCs w:val="21"/>
          <w:lang w:eastAsia="en-GB"/>
        </w:rPr>
        <w:pict>
          <v:rect id="_x0000_i1025" style="width:0;height:0" o:hralign="center" o:hrstd="t" o:hr="t" fillcolor="#a0a0a0" stroked="f"/>
        </w:pict>
      </w:r>
    </w:p>
    <w:p w:rsidR="00D212D1" w:rsidRPr="00D212D1" w:rsidRDefault="00D212D1" w:rsidP="00D212D1">
      <w:pPr>
        <w:shd w:val="clear" w:color="auto" w:fill="FFFFFF"/>
        <w:spacing w:before="150" w:after="150" w:line="315" w:lineRule="atLeast"/>
        <w:jc w:val="center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  <w:r w:rsidRPr="00D212D1">
        <w:rPr>
          <w:rFonts w:ascii="Arial" w:eastAsia="Times New Roman" w:hAnsi="Arial" w:cs="Arial"/>
          <w:b/>
          <w:bCs/>
          <w:color w:val="11414B"/>
          <w:sz w:val="21"/>
          <w:szCs w:val="21"/>
          <w:bdr w:val="single" w:sz="2" w:space="0" w:color="333333" w:frame="1"/>
          <w:lang w:eastAsia="en-GB"/>
        </w:rPr>
        <w:t xml:space="preserve">Medicine and </w:t>
      </w:r>
      <w:proofErr w:type="spellStart"/>
      <w:r w:rsidRPr="00D212D1">
        <w:rPr>
          <w:rFonts w:ascii="Arial" w:eastAsia="Times New Roman" w:hAnsi="Arial" w:cs="Arial"/>
          <w:b/>
          <w:bCs/>
          <w:color w:val="11414B"/>
          <w:sz w:val="21"/>
          <w:szCs w:val="21"/>
          <w:bdr w:val="single" w:sz="2" w:space="0" w:color="333333" w:frame="1"/>
          <w:lang w:eastAsia="en-GB"/>
        </w:rPr>
        <w:t>Polypharmacy</w:t>
      </w:r>
      <w:proofErr w:type="spellEnd"/>
      <w:r w:rsidRPr="00D212D1">
        <w:rPr>
          <w:rFonts w:ascii="Arial" w:eastAsia="Times New Roman" w:hAnsi="Arial" w:cs="Arial"/>
          <w:b/>
          <w:bCs/>
          <w:color w:val="11414B"/>
          <w:sz w:val="21"/>
          <w:szCs w:val="21"/>
          <w:bdr w:val="single" w:sz="2" w:space="0" w:color="333333" w:frame="1"/>
          <w:lang w:eastAsia="en-GB"/>
        </w:rPr>
        <w:t xml:space="preserve"> Reviews</w:t>
      </w:r>
    </w:p>
    <w:p w:rsidR="00D212D1" w:rsidRPr="00D212D1" w:rsidRDefault="00D212D1" w:rsidP="00D212D1">
      <w:pPr>
        <w:shd w:val="clear" w:color="auto" w:fill="FFFFFF"/>
        <w:spacing w:before="150" w:after="150" w:line="315" w:lineRule="atLeast"/>
        <w:jc w:val="center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</w:p>
    <w:p w:rsidR="00D212D1" w:rsidRPr="00D212D1" w:rsidRDefault="00D212D1" w:rsidP="00D212D1">
      <w:pPr>
        <w:shd w:val="clear" w:color="auto" w:fill="FFFFFF"/>
        <w:spacing w:before="150" w:after="150" w:line="315" w:lineRule="atLeast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 xml:space="preserve">Often the pharmacists or the doctor will review your medicine and talk about the medicines you are currently taking. </w:t>
      </w:r>
      <w:r w:rsidRPr="005F24AF">
        <w:rPr>
          <w:rFonts w:ascii="Arial" w:eastAsia="Times New Roman" w:hAnsi="Arial" w:cs="Arial"/>
          <w:color w:val="11414B"/>
          <w:sz w:val="21"/>
          <w:szCs w:val="21"/>
          <w:lang w:eastAsia="en-GB"/>
        </w:rPr>
        <w:t>In the Practice we like to review you</w:t>
      </w:r>
      <w:r w:rsidR="005F24AF" w:rsidRPr="005F24AF">
        <w:rPr>
          <w:rFonts w:ascii="Arial" w:eastAsia="Times New Roman" w:hAnsi="Arial" w:cs="Arial"/>
          <w:color w:val="11414B"/>
          <w:sz w:val="21"/>
          <w:szCs w:val="21"/>
          <w:lang w:eastAsia="en-GB"/>
        </w:rPr>
        <w:t>r medicine at least once a year.</w:t>
      </w:r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 xml:space="preserve"> However sometimes your medicine may be reviewed more frequently.</w:t>
      </w:r>
    </w:p>
    <w:p w:rsidR="00D212D1" w:rsidRPr="00D212D1" w:rsidRDefault="00D212D1" w:rsidP="00D212D1">
      <w:pPr>
        <w:shd w:val="clear" w:color="auto" w:fill="FFFFFF"/>
        <w:spacing w:before="150" w:after="150" w:line="315" w:lineRule="atLeast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</w:p>
    <w:p w:rsidR="00D212D1" w:rsidRPr="00D212D1" w:rsidRDefault="00D212D1" w:rsidP="00D212D1">
      <w:pPr>
        <w:shd w:val="clear" w:color="auto" w:fill="FFFFFF"/>
        <w:spacing w:before="150" w:after="150" w:line="315" w:lineRule="atLeast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 xml:space="preserve">You might also have heard people referring to </w:t>
      </w:r>
      <w:proofErr w:type="spellStart"/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>Polypharmacy</w:t>
      </w:r>
      <w:proofErr w:type="spellEnd"/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 xml:space="preserve">. It means lots of medicines. A medicine review is particularly useful for people who take a lot of medicines, for these people their medicines review may be called a </w:t>
      </w:r>
      <w:proofErr w:type="spellStart"/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>Polypharmacy</w:t>
      </w:r>
      <w:proofErr w:type="spellEnd"/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 xml:space="preserve"> Review.</w:t>
      </w:r>
    </w:p>
    <w:p w:rsidR="00D212D1" w:rsidRPr="00D212D1" w:rsidRDefault="00D212D1" w:rsidP="00D212D1">
      <w:pPr>
        <w:shd w:val="clear" w:color="auto" w:fill="FFFFFF"/>
        <w:spacing w:before="150" w:after="150" w:line="315" w:lineRule="atLeast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</w:p>
    <w:p w:rsidR="00D212D1" w:rsidRPr="00D212D1" w:rsidRDefault="00D212D1" w:rsidP="00D212D1">
      <w:pPr>
        <w:shd w:val="clear" w:color="auto" w:fill="FFFFFF"/>
        <w:spacing w:before="150" w:after="150" w:line="315" w:lineRule="atLeast"/>
        <w:textAlignment w:val="top"/>
        <w:rPr>
          <w:rFonts w:ascii="Arial" w:eastAsia="Times New Roman" w:hAnsi="Arial" w:cs="Arial"/>
          <w:color w:val="11414B"/>
          <w:sz w:val="21"/>
          <w:szCs w:val="21"/>
          <w:lang w:eastAsia="en-GB"/>
        </w:rPr>
      </w:pPr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 xml:space="preserve">Information about what a medicine and </w:t>
      </w:r>
      <w:proofErr w:type="spellStart"/>
      <w:r w:rsidR="003460A7">
        <w:rPr>
          <w:rFonts w:ascii="Arial" w:eastAsia="Times New Roman" w:hAnsi="Arial" w:cs="Arial"/>
          <w:color w:val="11414B"/>
          <w:sz w:val="21"/>
          <w:szCs w:val="21"/>
          <w:lang w:eastAsia="en-GB"/>
        </w:rPr>
        <w:t>P</w:t>
      </w:r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>olypharmacy</w:t>
      </w:r>
      <w:proofErr w:type="spellEnd"/>
      <w:r w:rsidRPr="00D212D1">
        <w:rPr>
          <w:rFonts w:ascii="Arial" w:eastAsia="Times New Roman" w:hAnsi="Arial" w:cs="Arial"/>
          <w:color w:val="11414B"/>
          <w:sz w:val="21"/>
          <w:szCs w:val="21"/>
          <w:lang w:eastAsia="en-GB"/>
        </w:rPr>
        <w:t xml:space="preserve"> review is can be found </w:t>
      </w:r>
      <w:hyperlink r:id="rId5" w:tgtFrame="_blank" w:history="1">
        <w:r w:rsidRPr="00D212D1">
          <w:rPr>
            <w:rFonts w:ascii="Arial" w:eastAsia="Times New Roman" w:hAnsi="Arial" w:cs="Arial"/>
            <w:color w:val="68CD9A"/>
            <w:sz w:val="21"/>
            <w:u w:val="single"/>
            <w:lang w:eastAsia="en-GB"/>
          </w:rPr>
          <w:t>here </w:t>
        </w:r>
      </w:hyperlink>
    </w:p>
    <w:p w:rsidR="00347A01" w:rsidRDefault="003460A7" w:rsidP="00D212D1"/>
    <w:sectPr w:rsidR="00347A01" w:rsidSect="00513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0674E"/>
    <w:multiLevelType w:val="multilevel"/>
    <w:tmpl w:val="6AB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212D1"/>
    <w:rsid w:val="00023B8C"/>
    <w:rsid w:val="00181067"/>
    <w:rsid w:val="002B7F20"/>
    <w:rsid w:val="003460A7"/>
    <w:rsid w:val="00497187"/>
    <w:rsid w:val="005131C0"/>
    <w:rsid w:val="005F24AF"/>
    <w:rsid w:val="00761B2A"/>
    <w:rsid w:val="0081150F"/>
    <w:rsid w:val="009675CC"/>
    <w:rsid w:val="00BC45EC"/>
    <w:rsid w:val="00D05F10"/>
    <w:rsid w:val="00D2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12D1"/>
    <w:rPr>
      <w:color w:val="0000FF"/>
      <w:u w:val="single"/>
    </w:rPr>
  </w:style>
  <w:style w:type="table" w:styleId="TableGrid">
    <w:name w:val="Table Grid"/>
    <w:basedOn w:val="TableNormal"/>
    <w:uiPriority w:val="59"/>
    <w:rsid w:val="00D21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189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21647356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176214193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  <w:divsChild>
                    <w:div w:id="34652065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2" w:color="333333"/>
                        <w:left w:val="single" w:sz="2" w:space="0" w:color="333333"/>
                        <w:bottom w:val="single" w:sz="2" w:space="2" w:color="333333"/>
                        <w:right w:val="single" w:sz="2" w:space="0" w:color="333333"/>
                      </w:divBdr>
                      <w:divsChild>
                        <w:div w:id="155111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34702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46573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3546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9904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08410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34848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6743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1855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33387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5292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2214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205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4182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30844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530095">
          <w:marLeft w:val="0"/>
          <w:marRight w:val="0"/>
          <w:marTop w:val="0"/>
          <w:marBottom w:val="0"/>
          <w:divBdr>
            <w:top w:val="single" w:sz="2" w:space="11" w:color="333333"/>
            <w:left w:val="single" w:sz="2" w:space="30" w:color="333333"/>
            <w:bottom w:val="single" w:sz="2" w:space="11" w:color="333333"/>
            <w:right w:val="single" w:sz="2" w:space="30" w:color="333333"/>
          </w:divBdr>
          <w:divsChild>
            <w:div w:id="108942699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383339223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  <w:divsChild>
                    <w:div w:id="1253974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</w:div>
                  </w:divsChild>
                </w:div>
              </w:divsChild>
            </w:div>
          </w:divsChild>
        </w:div>
        <w:div w:id="19473740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76267819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964239995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11" w:color="333333"/>
                  </w:divBdr>
                  <w:divsChild>
                    <w:div w:id="393895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  <w:divsChild>
                        <w:div w:id="10459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25416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7579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90771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49449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23184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71928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rp-cdn.multiscreensite.com/8937e073/files/uploaded/Polypharmacy-Medicines-Review-Leafle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1927</Characters>
  <Application>Microsoft Office Word</Application>
  <DocSecurity>0</DocSecurity>
  <Lines>16</Lines>
  <Paragraphs>4</Paragraphs>
  <ScaleCrop>false</ScaleCrop>
  <Company>NHS Lothian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barry.chapman2</dc:creator>
  <cp:lastModifiedBy>Gillian.Small</cp:lastModifiedBy>
  <cp:revision>4</cp:revision>
  <dcterms:created xsi:type="dcterms:W3CDTF">2021-08-04T10:01:00Z</dcterms:created>
  <dcterms:modified xsi:type="dcterms:W3CDTF">2021-08-04T10:04:00Z</dcterms:modified>
</cp:coreProperties>
</file>